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94FEF3D" w:rsidR="009815C7" w:rsidRPr="007B0071" w:rsidRDefault="00BC7274" w:rsidP="00E9333B">
      <w:pPr>
        <w:spacing w:after="0" w:line="240" w:lineRule="auto"/>
        <w:jc w:val="center"/>
        <w:rPr>
          <w:rFonts w:ascii="Sylfaen" w:hAnsi="Sylfaen" w:cs="Sylfaen"/>
          <w:b/>
          <w:lang w:val="ka-GE"/>
        </w:rPr>
      </w:pPr>
      <w:r>
        <w:rPr>
          <w:rFonts w:ascii="Sylfaen" w:hAnsi="Sylfaen" w:cs="Sylfaen"/>
          <w:b/>
          <w:lang w:val="ka-GE"/>
        </w:rPr>
        <w:t>ქეთევან დედოფლის გამზირის</w:t>
      </w:r>
      <w:r w:rsidR="004A02D2">
        <w:rPr>
          <w:rFonts w:ascii="Sylfaen" w:hAnsi="Sylfaen" w:cs="Sylfaen"/>
          <w:b/>
          <w:lang w:val="ka-GE"/>
        </w:rPr>
        <w:t xml:space="preserve"> წყალსადენისა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2879D2C6"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01FC3" w:rsidRPr="00A01FC3">
        <w:rPr>
          <w:rFonts w:ascii="Sylfaen" w:hAnsi="Sylfaen" w:cs="Sylfaen"/>
          <w:lang w:val="ka-GE"/>
        </w:rPr>
        <w:t xml:space="preserve">ქეთევან დედოფლის გამზირის </w:t>
      </w:r>
      <w:r w:rsidR="004A02D2" w:rsidRPr="004A02D2">
        <w:rPr>
          <w:rFonts w:ascii="Sylfaen" w:hAnsi="Sylfaen" w:cs="Sylfaen"/>
          <w:lang w:val="ka-GE"/>
        </w:rPr>
        <w:t xml:space="preserve">წყალსადენისა და წყალარინების ქსელების სარეაბილიტაციო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6E601724" w14:textId="3352C583"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A01FC3">
        <w:rPr>
          <w:rFonts w:asciiTheme="minorHAnsi" w:hAnsiTheme="minorHAnsi" w:cstheme="minorHAnsi"/>
          <w:b/>
          <w:lang w:val="ka-GE"/>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sidRPr="004A02D2">
        <w:rPr>
          <w:rFonts w:asciiTheme="minorHAnsi" w:hAnsiTheme="minorHAnsi" w:cstheme="minorHAnsi"/>
          <w:b/>
          <w:lang w:val="ka-GE"/>
        </w:rPr>
        <w:t xml:space="preserve">: </w:t>
      </w:r>
    </w:p>
    <w:p w14:paraId="7764ACF2" w14:textId="26ECBD49" w:rsidR="004A02D2" w:rsidRPr="004A02D2" w:rsidRDefault="004A02D2" w:rsidP="004A02D2">
      <w:pPr>
        <w:spacing w:after="0" w:line="240" w:lineRule="auto"/>
        <w:rPr>
          <w:rFonts w:asciiTheme="minorHAnsi" w:hAnsiTheme="minorHAnsi" w:cstheme="minorHAnsi"/>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N1: </w:t>
      </w:r>
      <w:r w:rsidR="00A01FC3" w:rsidRPr="00A01FC3">
        <w:rPr>
          <w:rFonts w:ascii="Sylfaen" w:hAnsi="Sylfaen" w:cs="Sylfaen"/>
          <w:b/>
          <w:u w:val="single"/>
          <w:lang w:val="ka-GE"/>
        </w:rPr>
        <w:t xml:space="preserve">ქეთევან დედოფლის გამზირი </w:t>
      </w:r>
      <w:r w:rsidRPr="004A02D2">
        <w:rPr>
          <w:rFonts w:ascii="Sylfaen" w:hAnsi="Sylfaen" w:cs="Sylfaen"/>
          <w:b/>
          <w:u w:val="single"/>
          <w:lang w:val="ka-GE"/>
        </w:rPr>
        <w:t>I მონაკვეთი</w:t>
      </w:r>
    </w:p>
    <w:p w14:paraId="1D9E5986" w14:textId="0937C91F"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N2: </w:t>
      </w:r>
      <w:r w:rsidR="00A01FC3" w:rsidRPr="00A01FC3">
        <w:rPr>
          <w:rFonts w:ascii="Sylfaen" w:hAnsi="Sylfaen" w:cs="Sylfaen"/>
          <w:b/>
          <w:u w:val="single"/>
          <w:lang w:val="ka-GE"/>
        </w:rPr>
        <w:t xml:space="preserve">ქეთევან დედოფლის გამზირი </w:t>
      </w:r>
      <w:r w:rsidRPr="004A02D2">
        <w:rPr>
          <w:rFonts w:ascii="Sylfaen" w:hAnsi="Sylfaen" w:cs="Sylfaen"/>
          <w:b/>
          <w:u w:val="single"/>
          <w:lang w:val="ka-GE"/>
        </w:rPr>
        <w:t>II მონაკვეთი</w:t>
      </w:r>
    </w:p>
    <w:p w14:paraId="2E2AF65D" w14:textId="79565D92"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N3: </w:t>
      </w:r>
      <w:r w:rsidR="00A01FC3">
        <w:rPr>
          <w:rFonts w:ascii="Sylfaen" w:hAnsi="Sylfaen" w:cs="Sylfaen"/>
          <w:b/>
          <w:u w:val="single"/>
          <w:lang w:val="ka-GE"/>
        </w:rPr>
        <w:t xml:space="preserve">ქეთევან დედოფლის გამზირი </w:t>
      </w:r>
      <w:r w:rsidRPr="004A02D2">
        <w:rPr>
          <w:rFonts w:ascii="Sylfaen" w:hAnsi="Sylfaen" w:cs="Sylfaen"/>
          <w:b/>
          <w:u w:val="single"/>
          <w:lang w:val="ka-GE"/>
        </w:rPr>
        <w:t>III მონაკვეთი</w:t>
      </w:r>
    </w:p>
    <w:p w14:paraId="06D26ECB" w14:textId="404EBC99"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A01FC3">
        <w:rPr>
          <w:rFonts w:ascii="Sylfaen" w:hAnsi="Sylfaen" w:cs="Sylfaen"/>
          <w:b/>
          <w:u w:val="single"/>
          <w:lang w:val="ka-GE"/>
        </w:rPr>
        <w:t xml:space="preserve"> N4: </w:t>
      </w:r>
      <w:r w:rsidR="00A01FC3">
        <w:rPr>
          <w:rFonts w:ascii="Sylfaen" w:hAnsi="Sylfaen" w:cs="Sylfaen"/>
          <w:b/>
          <w:u w:val="single"/>
          <w:lang w:val="ka-GE"/>
        </w:rPr>
        <w:t xml:space="preserve">ქეთევან დედოფლის გამზირი </w:t>
      </w:r>
      <w:r w:rsidRPr="004A02D2">
        <w:rPr>
          <w:rFonts w:ascii="Sylfaen" w:hAnsi="Sylfaen" w:cs="Sylfaen"/>
          <w:b/>
          <w:u w:val="single"/>
          <w:lang w:val="ka-GE"/>
        </w:rPr>
        <w:t>IV მონაკვეთი</w:t>
      </w:r>
    </w:p>
    <w:p w14:paraId="27A60017" w14:textId="10970C9D" w:rsidR="00A01FC3" w:rsidRPr="00A01FC3" w:rsidRDefault="00A01FC3" w:rsidP="004A02D2">
      <w:pPr>
        <w:spacing w:after="0" w:line="240" w:lineRule="auto"/>
        <w:rPr>
          <w:rFonts w:ascii="Sylfaen" w:hAnsi="Sylfaen" w:cs="Sylfaen"/>
          <w:b/>
          <w:u w:val="single"/>
          <w:lang w:val="ka-GE"/>
        </w:rPr>
      </w:pPr>
      <w:r w:rsidRPr="00A01FC3">
        <w:rPr>
          <w:rFonts w:ascii="Sylfaen" w:hAnsi="Sylfaen" w:cs="Sylfaen"/>
          <w:b/>
          <w:u w:val="single"/>
          <w:lang w:val="ka-GE"/>
        </w:rPr>
        <w:t>ლოტი N5: ქეთევან დედოფლის გამზირი V მონაკვეთი</w:t>
      </w:r>
    </w:p>
    <w:p w14:paraId="0DCBA68D" w14:textId="6200BD9C" w:rsidR="00A01FC3" w:rsidRPr="007D0C6C" w:rsidRDefault="00A01FC3" w:rsidP="004A02D2">
      <w:pPr>
        <w:spacing w:after="0" w:line="240" w:lineRule="auto"/>
        <w:rPr>
          <w:rFonts w:ascii="Sylfaen" w:hAnsi="Sylfaen" w:cs="Sylfaen"/>
          <w:lang w:val="ka-GE"/>
        </w:rPr>
      </w:pPr>
      <w:r w:rsidRPr="004A02D2">
        <w:rPr>
          <w:rFonts w:ascii="Sylfaen" w:hAnsi="Sylfaen" w:cs="Sylfaen"/>
          <w:b/>
          <w:u w:val="single"/>
          <w:lang w:val="ka-GE"/>
        </w:rPr>
        <w:t>ლოტი</w:t>
      </w:r>
      <w:r>
        <w:rPr>
          <w:rFonts w:asciiTheme="minorHAnsi" w:hAnsiTheme="minorHAnsi" w:cstheme="minorHAnsi"/>
          <w:b/>
          <w:u w:val="single"/>
          <w:lang w:val="ka-GE"/>
        </w:rPr>
        <w:t xml:space="preserve"> N6</w:t>
      </w:r>
      <w:r w:rsidRPr="004A02D2">
        <w:rPr>
          <w:rFonts w:asciiTheme="minorHAnsi" w:hAnsiTheme="minorHAnsi" w:cstheme="minorHAnsi"/>
          <w:b/>
          <w:u w:val="single"/>
          <w:lang w:val="ka-GE"/>
        </w:rPr>
        <w:t xml:space="preserve">: </w:t>
      </w:r>
      <w:r>
        <w:rPr>
          <w:rFonts w:ascii="Sylfaen" w:hAnsi="Sylfaen" w:cs="Sylfaen"/>
          <w:b/>
          <w:u w:val="single"/>
          <w:lang w:val="ka-GE"/>
        </w:rPr>
        <w:t xml:space="preserve">ქეთევან დედოფლის გამზირი </w:t>
      </w:r>
      <w:r w:rsidRPr="004A02D2">
        <w:rPr>
          <w:rFonts w:ascii="Sylfaen" w:hAnsi="Sylfaen" w:cs="Sylfaen"/>
          <w:b/>
          <w:u w:val="single"/>
          <w:lang w:val="ka-GE"/>
        </w:rPr>
        <w:t>V</w:t>
      </w:r>
      <w:r w:rsidRPr="00A01FC3">
        <w:rPr>
          <w:rFonts w:ascii="Sylfaen" w:hAnsi="Sylfaen" w:cs="Sylfaen"/>
          <w:b/>
          <w:u w:val="single"/>
          <w:lang w:val="ka-GE"/>
        </w:rPr>
        <w:t>I</w:t>
      </w:r>
      <w:r w:rsidRPr="004A02D2">
        <w:rPr>
          <w:rFonts w:ascii="Sylfaen" w:hAnsi="Sylfaen" w:cs="Sylfaen"/>
          <w:b/>
          <w:u w:val="single"/>
          <w:lang w:val="ka-GE"/>
        </w:rPr>
        <w:t xml:space="preserve"> მონაკვეთი</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7BCA3759" w:rsidR="00DB5C8D" w:rsidRDefault="00A01FC3" w:rsidP="00DE5EA9">
      <w:pPr>
        <w:spacing w:after="0" w:line="240" w:lineRule="auto"/>
        <w:jc w:val="both"/>
        <w:rPr>
          <w:rFonts w:ascii="Sylfaen" w:hAnsi="Sylfaen" w:cs="Sylfaen"/>
          <w:lang w:val="ka-GE"/>
        </w:rPr>
      </w:pPr>
      <w:r w:rsidRPr="00A01FC3">
        <w:rPr>
          <w:rFonts w:ascii="Sylfaen" w:hAnsi="Sylfaen" w:cs="Sylfaen"/>
          <w:lang w:val="ka-GE"/>
        </w:rPr>
        <w:t xml:space="preserve">ქეთევან დედოფლის გამზირის </w:t>
      </w:r>
      <w:r w:rsidR="004A02D2" w:rsidRPr="004A02D2">
        <w:rPr>
          <w:rFonts w:ascii="Sylfaen" w:hAnsi="Sylfaen" w:cs="Sylfaen"/>
          <w:lang w:val="ka-GE"/>
        </w:rPr>
        <w:t>წყალსადენისა და წყალარინების ქსელების</w:t>
      </w:r>
      <w:r w:rsidR="00C7542B" w:rsidRPr="00C7542B">
        <w:rPr>
          <w:rFonts w:ascii="Sylfaen" w:hAnsi="Sylfaen" w:cs="Sylfaen"/>
          <w:lang w:val="ka-GE"/>
        </w:rPr>
        <w:t xml:space="preserve"> </w:t>
      </w:r>
      <w:r w:rsidR="00613351">
        <w:rPr>
          <w:rFonts w:ascii="Sylfaen" w:hAnsi="Sylfaen" w:cs="Sylfaen"/>
          <w:lang w:val="ka-GE"/>
        </w:rPr>
        <w:t>სარეაბილიტაციო</w:t>
      </w:r>
      <w:r w:rsidR="00C7542B">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566E7D6A" w14:textId="407227BE"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Pr="007F1866">
        <w:rPr>
          <w:rFonts w:ascii="Sylfaen" w:hAnsi="Sylfaen" w:cs="Sylfaen"/>
          <w:lang w:val="ka-GE"/>
        </w:rPr>
        <w:t xml:space="preserve">ტენდერში </w:t>
      </w:r>
      <w:r w:rsidR="007810B6" w:rsidRPr="007F1866">
        <w:rPr>
          <w:rFonts w:ascii="Sylfaen" w:hAnsi="Sylfaen" w:cs="Sylfaen"/>
          <w:lang w:val="ka-GE"/>
        </w:rPr>
        <w:t>მონაწილე</w:t>
      </w:r>
      <w:r w:rsidRPr="007F1866">
        <w:rPr>
          <w:rFonts w:ascii="Sylfaen" w:hAnsi="Sylfaen" w:cs="Sylfaen"/>
          <w:lang w:val="ka-GE"/>
        </w:rPr>
        <w:t xml:space="preserve"> კომპანია ვალდებულია ხელშეკრუ</w:t>
      </w:r>
      <w:r w:rsidR="007810B6" w:rsidRPr="007F1866">
        <w:rPr>
          <w:rFonts w:ascii="Sylfaen" w:hAnsi="Sylfaen" w:cs="Sylfaen"/>
          <w:lang w:val="ka-GE"/>
        </w:rPr>
        <w:t>ლების გაფორმებამდე 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6C8AEE20" w:rsidR="007810B6" w:rsidRPr="007F1866" w:rsidRDefault="004A02D2" w:rsidP="007810B6">
      <w:pPr>
        <w:pStyle w:val="ListParagraph"/>
        <w:numPr>
          <w:ilvl w:val="0"/>
          <w:numId w:val="50"/>
        </w:numPr>
        <w:spacing w:after="0" w:line="240" w:lineRule="auto"/>
        <w:jc w:val="both"/>
        <w:rPr>
          <w:rFonts w:ascii="Sylfaen" w:hAnsi="Sylfaen" w:cs="Sylfaen"/>
          <w:lang w:val="ka-GE"/>
        </w:rPr>
      </w:pPr>
      <w:r w:rsidRPr="007F1866">
        <w:rPr>
          <w:rFonts w:ascii="Sylfaen" w:hAnsi="Sylfaen" w:cs="Sylfaen"/>
          <w:lang w:val="ka-GE"/>
        </w:rPr>
        <w:t xml:space="preserve">სამშენებლო სამუშაოების </w:t>
      </w:r>
      <w:r w:rsidR="00777DC3" w:rsidRPr="007F1866">
        <w:rPr>
          <w:rFonts w:ascii="Sylfaen" w:hAnsi="Sylfaen" w:cs="Sylfaen"/>
          <w:lang w:val="ka-GE"/>
        </w:rPr>
        <w:t>დაზღვევა სრულ მოცულობაზე (კონტრაქტორის</w:t>
      </w:r>
      <w:r w:rsidR="007810B6" w:rsidRPr="007F1866">
        <w:rPr>
          <w:rFonts w:ascii="Sylfaen" w:hAnsi="Sylfaen" w:cs="Sylfaen"/>
          <w:lang w:val="ka-GE"/>
        </w:rPr>
        <w:t xml:space="preserve"> ყველა რისკის დაზღვევის პოლისი), თითოეულ </w:t>
      </w:r>
      <w:r w:rsidR="007F1866">
        <w:rPr>
          <w:rFonts w:ascii="Sylfaen" w:hAnsi="Sylfaen" w:cs="Sylfaen"/>
          <w:lang w:val="ka-GE"/>
        </w:rPr>
        <w:t>ლოტზე</w:t>
      </w:r>
      <w:r w:rsidR="007810B6" w:rsidRPr="007F1866">
        <w:rPr>
          <w:rFonts w:ascii="Sylfaen" w:hAnsi="Sylfaen" w:cs="Sylfaen"/>
          <w:lang w:val="ka-GE"/>
        </w:rPr>
        <w:t xml:space="preserve"> ცალკე;</w:t>
      </w:r>
    </w:p>
    <w:p w14:paraId="46516738" w14:textId="1D258E57" w:rsidR="004A02D2" w:rsidRPr="007F1866" w:rsidRDefault="00777DC3" w:rsidP="007810B6">
      <w:pPr>
        <w:pStyle w:val="ListParagraph"/>
        <w:numPr>
          <w:ilvl w:val="0"/>
          <w:numId w:val="50"/>
        </w:numPr>
        <w:spacing w:after="0" w:line="240" w:lineRule="auto"/>
        <w:jc w:val="both"/>
        <w:rPr>
          <w:rFonts w:ascii="Sylfaen" w:hAnsi="Sylfaen" w:cs="Sylfaen"/>
          <w:lang w:val="ka-GE"/>
        </w:rPr>
      </w:pPr>
      <w:r w:rsidRPr="007F1866">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sidR="007810B6" w:rsidRPr="007F1866">
        <w:rPr>
          <w:rFonts w:ascii="Sylfaen" w:hAnsi="Sylfaen" w:cs="Sylfaen"/>
          <w:lang w:val="ka-GE"/>
        </w:rPr>
        <w:t>ა იყოს 700,000 ლარზე ნაკლები, თითოეულ</w:t>
      </w:r>
      <w:r w:rsidR="007F1866">
        <w:rPr>
          <w:rFonts w:ascii="Sylfaen" w:hAnsi="Sylfaen" w:cs="Sylfaen"/>
          <w:lang w:val="ka-GE"/>
        </w:rPr>
        <w:t xml:space="preserve"> ლოტ</w:t>
      </w:r>
      <w:r w:rsidR="007810B6" w:rsidRPr="007F1866">
        <w:rPr>
          <w:rFonts w:ascii="Sylfaen" w:hAnsi="Sylfaen" w:cs="Sylfaen"/>
          <w:lang w:val="ka-GE"/>
        </w:rPr>
        <w:t>ზე ცაკლე.</w:t>
      </w:r>
    </w:p>
    <w:p w14:paraId="79D7BAA8" w14:textId="21343F46" w:rsidR="007810B6" w:rsidRDefault="007810B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სადაზღვეო ღირებულება უნდა იყოს წარმოდგენილი ცალკე, ტენდერში მოცემული განფასებების დამატებით ველში.</w:t>
      </w:r>
    </w:p>
    <w:p w14:paraId="6C6C2CEE" w14:textId="7F5809B0" w:rsidR="007810B6" w:rsidRDefault="007810B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lastRenderedPageBreak/>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Pr>
          <w:rFonts w:ascii="Sylfaen" w:hAnsi="Sylfaen" w:cs="Sylfaen"/>
          <w:lang w:val="ka-GE"/>
        </w:rPr>
        <w:t xml:space="preserve"> მომსახურების გაწევის დამადასტურებელი დოკუმენტაცია.</w:t>
      </w:r>
    </w:p>
    <w:p w14:paraId="6F78981A" w14:textId="6436763F" w:rsidR="007F1866" w:rsidRPr="007810B6" w:rsidRDefault="007F186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სადაზღვეო პოლისის მოქმედების ვადა უნდა იყოს 12 თვე.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720F4DE" w:rsidR="00392707" w:rsidRPr="00255EB0" w:rsidRDefault="00D527CB" w:rsidP="00DE5EA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ADC4E0A"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A01FC3">
        <w:rPr>
          <w:rFonts w:ascii="Sylfaen" w:hAnsi="Sylfaen"/>
          <w:lang w:val="ka-GE"/>
        </w:rPr>
        <w:t>ისანი-სამგორის</w:t>
      </w:r>
      <w:r w:rsidR="00777DC3">
        <w:rPr>
          <w:rFonts w:ascii="Sylfaen" w:hAnsi="Sylfaen"/>
          <w:lang w:val="ka-GE"/>
        </w:rPr>
        <w:t xml:space="preserve"> 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191502D8" w14:textId="77777777" w:rsidR="008D2DA7" w:rsidRPr="00F5699C" w:rsidRDefault="008D2DA7" w:rsidP="00F5699C">
      <w:pPr>
        <w:pStyle w:val="CommentText"/>
        <w:jc w:val="both"/>
        <w:rPr>
          <w:rFonts w:ascii="Sylfaen" w:hAnsi="Sylfaen"/>
          <w:sz w:val="22"/>
          <w:szCs w:val="22"/>
          <w:lang w:val="ka-GE"/>
        </w:rPr>
      </w:pP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lastRenderedPageBreak/>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515A51F"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ხარჯთაღრიცხვა</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7A971E18"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 xml:space="preserve">სრულად შევსებული სამუშაო გეგმა-გრაფიკი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2456AB30" w14:textId="77777777" w:rsidR="006B2B7F" w:rsidRPr="00521801" w:rsidRDefault="006B2B7F" w:rsidP="00DE5EA9">
      <w:pPr>
        <w:jc w:val="both"/>
        <w:rPr>
          <w:rFonts w:ascii="Sylfaen" w:hAnsi="Sylfaen"/>
          <w:b/>
          <w:sz w:val="14"/>
          <w:lang w:val="ka-GE"/>
        </w:rPr>
      </w:pP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proofErr w:type="gramStart"/>
      <w:r>
        <w:rPr>
          <w:rFonts w:ascii="Sylfaen" w:hAnsi="Sylfaen"/>
          <w:b/>
        </w:rPr>
        <w:lastRenderedPageBreak/>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w:t>
      </w:r>
      <w:proofErr w:type="gramEnd"/>
      <w:r w:rsidR="00CC4789" w:rsidRPr="00F60BDF">
        <w:rPr>
          <w:rFonts w:ascii="Sylfaen" w:hAnsi="Sylfaen"/>
          <w:b/>
          <w:lang w:val="ka-GE"/>
        </w:rPr>
        <w:t xml:space="preserve">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bookmarkStart w:id="1" w:name="_GoBack"/>
      <w:bookmarkEnd w:id="1"/>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lastRenderedPageBreak/>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B5E49" w14:textId="77777777" w:rsidR="001359A7" w:rsidRDefault="001359A7" w:rsidP="007902EA">
      <w:pPr>
        <w:spacing w:after="0" w:line="240" w:lineRule="auto"/>
      </w:pPr>
      <w:r>
        <w:separator/>
      </w:r>
    </w:p>
  </w:endnote>
  <w:endnote w:type="continuationSeparator" w:id="0">
    <w:p w14:paraId="29FFE1F8" w14:textId="77777777" w:rsidR="001359A7" w:rsidRDefault="001359A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B1B9525" w:rsidR="004A3BD8" w:rsidRDefault="004A3BD8">
        <w:pPr>
          <w:pStyle w:val="Footer"/>
          <w:jc w:val="right"/>
        </w:pPr>
        <w:r>
          <w:fldChar w:fldCharType="begin"/>
        </w:r>
        <w:r>
          <w:instrText xml:space="preserve"> PAGE   \* MERGEFORMAT </w:instrText>
        </w:r>
        <w:r>
          <w:fldChar w:fldCharType="separate"/>
        </w:r>
        <w:r w:rsidR="008D2DA7">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A684" w14:textId="77777777" w:rsidR="001359A7" w:rsidRDefault="001359A7" w:rsidP="007902EA">
      <w:pPr>
        <w:spacing w:after="0" w:line="240" w:lineRule="auto"/>
      </w:pPr>
      <w:r>
        <w:separator/>
      </w:r>
    </w:p>
  </w:footnote>
  <w:footnote w:type="continuationSeparator" w:id="0">
    <w:p w14:paraId="3EF02617" w14:textId="77777777" w:rsidR="001359A7" w:rsidRDefault="001359A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78CE"/>
    <w:rsid w:val="00777DC3"/>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2170-7F43-4C28-A441-24ABF0BA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6</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18</cp:revision>
  <cp:lastPrinted>2015-07-27T06:36:00Z</cp:lastPrinted>
  <dcterms:created xsi:type="dcterms:W3CDTF">2020-11-03T14:15:00Z</dcterms:created>
  <dcterms:modified xsi:type="dcterms:W3CDTF">2021-05-20T09:24:00Z</dcterms:modified>
</cp:coreProperties>
</file>